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46D9F4">
      <w:pPr>
        <w:snapToGrid w:val="0"/>
        <w:spacing w:after="217" w:afterLines="50" w:line="560" w:lineRule="exact"/>
        <w:jc w:val="center"/>
        <w:rPr>
          <w:rFonts w:hint="default" w:ascii="Times New Roman" w:hAnsi="Times New Roman" w:eastAsia="方正小标宋_GBK" w:cs="Times New Roman"/>
          <w:color w:val="000000"/>
          <w:sz w:val="40"/>
          <w:szCs w:val="40"/>
        </w:rPr>
      </w:pPr>
      <w:r>
        <w:rPr>
          <w:rFonts w:hint="default" w:ascii="Times New Roman" w:hAnsi="Times New Roman" w:eastAsia="方正小标宋_GBK" w:cs="Times New Roman"/>
          <w:color w:val="000000"/>
          <w:sz w:val="40"/>
          <w:szCs w:val="40"/>
          <w:lang w:val="en-US" w:eastAsia="zh-CN"/>
        </w:rPr>
        <w:t>江苏新闻奖（人才类）</w:t>
      </w:r>
      <w:r>
        <w:rPr>
          <w:rFonts w:hint="default" w:ascii="Times New Roman" w:hAnsi="Times New Roman" w:eastAsia="方正小标宋_GBK" w:cs="Times New Roman"/>
          <w:color w:val="000000"/>
          <w:sz w:val="40"/>
          <w:szCs w:val="40"/>
        </w:rPr>
        <w:t>获奖作品登记表</w:t>
      </w:r>
    </w:p>
    <w:tbl>
      <w:tblPr>
        <w:tblStyle w:val="5"/>
        <w:tblW w:w="96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28"/>
        <w:gridCol w:w="1775"/>
        <w:gridCol w:w="1471"/>
        <w:gridCol w:w="739"/>
        <w:gridCol w:w="3315"/>
      </w:tblGrid>
      <w:tr w14:paraId="71E1D0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1" w:hRule="atLeast"/>
          <w:jc w:val="center"/>
        </w:trPr>
        <w:tc>
          <w:tcPr>
            <w:tcW w:w="2328" w:type="dxa"/>
            <w:tcBorders>
              <w:top w:val="single" w:color="auto" w:sz="4" w:space="0"/>
              <w:left w:val="single" w:color="auto" w:sz="4" w:space="0"/>
              <w:bottom w:val="single" w:color="auto" w:sz="4" w:space="0"/>
              <w:right w:val="single" w:color="auto" w:sz="4" w:space="0"/>
            </w:tcBorders>
          </w:tcPr>
          <w:p w14:paraId="09F89BE8">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报送单位</w:t>
            </w:r>
          </w:p>
        </w:tc>
        <w:tc>
          <w:tcPr>
            <w:tcW w:w="7300" w:type="dxa"/>
            <w:gridSpan w:val="4"/>
            <w:tcBorders>
              <w:top w:val="single" w:color="auto" w:sz="4" w:space="0"/>
              <w:left w:val="single" w:color="auto" w:sz="4" w:space="0"/>
              <w:bottom w:val="single" w:color="auto" w:sz="4" w:space="0"/>
              <w:right w:val="single" w:color="auto" w:sz="4" w:space="0"/>
            </w:tcBorders>
            <w:vAlign w:val="center"/>
          </w:tcPr>
          <w:p w14:paraId="717BABC2">
            <w:pPr>
              <w:snapToGrid w:val="0"/>
              <w:spacing w:line="380" w:lineRule="exact"/>
              <w:jc w:val="center"/>
              <w:rPr>
                <w:rFonts w:hint="eastAsia" w:ascii="楷体_GB2312" w:hAnsi="楷体_GB2312" w:eastAsia="楷体_GB2312" w:cs="楷体_GB2312"/>
                <w:color w:val="000000"/>
                <w:sz w:val="28"/>
                <w:szCs w:val="28"/>
                <w:lang w:val="en-US" w:eastAsia="zh-CN"/>
              </w:rPr>
            </w:pPr>
            <w:r>
              <w:rPr>
                <w:rFonts w:hint="eastAsia" w:ascii="Times New Roman" w:hAnsi="Times New Roman" w:eastAsia="方正仿宋_GBK" w:cs="Times New Roman"/>
                <w:color w:val="000000"/>
                <w:sz w:val="28"/>
                <w:szCs w:val="28"/>
                <w:lang w:val="en-US" w:eastAsia="zh-CN"/>
              </w:rPr>
              <w:t>盐阜大众报报业集团</w:t>
            </w:r>
          </w:p>
        </w:tc>
      </w:tr>
      <w:tr w14:paraId="4C6C8D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328" w:type="dxa"/>
            <w:tcBorders>
              <w:top w:val="single" w:color="auto" w:sz="4" w:space="0"/>
              <w:left w:val="single" w:color="auto" w:sz="4" w:space="0"/>
              <w:bottom w:val="single" w:color="auto" w:sz="4" w:space="0"/>
              <w:right w:val="single" w:color="auto" w:sz="4" w:space="0"/>
            </w:tcBorders>
          </w:tcPr>
          <w:p w14:paraId="0EB1AED3">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作者姓名</w:t>
            </w:r>
          </w:p>
        </w:tc>
        <w:tc>
          <w:tcPr>
            <w:tcW w:w="1775" w:type="dxa"/>
            <w:tcBorders>
              <w:top w:val="single" w:color="auto" w:sz="4" w:space="0"/>
              <w:left w:val="single" w:color="auto" w:sz="4" w:space="0"/>
              <w:bottom w:val="single" w:color="auto" w:sz="4" w:space="0"/>
              <w:right w:val="single" w:color="auto" w:sz="4" w:space="0"/>
            </w:tcBorders>
            <w:vAlign w:val="center"/>
          </w:tcPr>
          <w:p w14:paraId="32BB89D9">
            <w:pPr>
              <w:snapToGrid w:val="0"/>
              <w:spacing w:line="380" w:lineRule="exact"/>
              <w:jc w:val="center"/>
              <w:rPr>
                <w:rFonts w:hint="eastAsia" w:ascii="Times New Roman" w:hAnsi="Times New Roman" w:eastAsia="方正仿宋_GBK" w:cs="Times New Roman"/>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武  斌</w:t>
            </w:r>
          </w:p>
        </w:tc>
        <w:tc>
          <w:tcPr>
            <w:tcW w:w="2210" w:type="dxa"/>
            <w:gridSpan w:val="2"/>
            <w:tcBorders>
              <w:top w:val="single" w:color="auto" w:sz="4" w:space="0"/>
              <w:left w:val="single" w:color="auto" w:sz="4" w:space="0"/>
              <w:bottom w:val="single" w:color="auto" w:sz="4" w:space="0"/>
              <w:right w:val="single" w:color="auto" w:sz="4" w:space="0"/>
            </w:tcBorders>
            <w:vAlign w:val="center"/>
          </w:tcPr>
          <w:p w14:paraId="376960FE">
            <w:pPr>
              <w:snapToGrid w:val="0"/>
              <w:spacing w:line="38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作者工作单位</w:t>
            </w:r>
          </w:p>
        </w:tc>
        <w:tc>
          <w:tcPr>
            <w:tcW w:w="3315" w:type="dxa"/>
            <w:tcBorders>
              <w:top w:val="single" w:color="auto" w:sz="4" w:space="0"/>
              <w:left w:val="single" w:color="auto" w:sz="4" w:space="0"/>
              <w:bottom w:val="single" w:color="auto" w:sz="4" w:space="0"/>
              <w:right w:val="single" w:color="auto" w:sz="4" w:space="0"/>
            </w:tcBorders>
            <w:vAlign w:val="center"/>
          </w:tcPr>
          <w:p w14:paraId="56639517">
            <w:pPr>
              <w:snapToGrid w:val="0"/>
              <w:spacing w:line="380" w:lineRule="exact"/>
              <w:jc w:val="center"/>
              <w:rPr>
                <w:rFonts w:hint="default" w:ascii="Times New Roman" w:hAnsi="Times New Roman" w:eastAsia="方正仿宋_GBK" w:cs="Times New Roman"/>
                <w:color w:val="000000"/>
                <w:sz w:val="28"/>
                <w:szCs w:val="28"/>
              </w:rPr>
            </w:pPr>
            <w:r>
              <w:rPr>
                <w:rFonts w:hint="eastAsia" w:ascii="方正仿宋_GBK" w:hAnsi="方正仿宋_GBK" w:eastAsia="方正仿宋_GBK" w:cs="方正仿宋_GBK"/>
                <w:color w:val="000000"/>
                <w:sz w:val="28"/>
                <w:szCs w:val="28"/>
                <w:lang w:val="en-US" w:eastAsia="zh-CN"/>
              </w:rPr>
              <w:t>盐阜大众报报业集团</w:t>
            </w:r>
          </w:p>
        </w:tc>
      </w:tr>
      <w:tr w14:paraId="4FAED9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2328" w:type="dxa"/>
            <w:tcBorders>
              <w:top w:val="single" w:color="auto" w:sz="4" w:space="0"/>
              <w:left w:val="single" w:color="auto" w:sz="4" w:space="0"/>
              <w:bottom w:val="single" w:color="auto" w:sz="4" w:space="0"/>
              <w:right w:val="single" w:color="auto" w:sz="4" w:space="0"/>
            </w:tcBorders>
          </w:tcPr>
          <w:p w14:paraId="3B108D40">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作品标题</w:t>
            </w:r>
          </w:p>
        </w:tc>
        <w:tc>
          <w:tcPr>
            <w:tcW w:w="7300" w:type="dxa"/>
            <w:gridSpan w:val="4"/>
            <w:tcBorders>
              <w:top w:val="single" w:color="auto" w:sz="4" w:space="0"/>
              <w:left w:val="single" w:color="auto" w:sz="4" w:space="0"/>
              <w:bottom w:val="single" w:color="auto" w:sz="4" w:space="0"/>
              <w:right w:val="single" w:color="auto" w:sz="4" w:space="0"/>
            </w:tcBorders>
            <w:vAlign w:val="center"/>
          </w:tcPr>
          <w:p w14:paraId="5DEF367F">
            <w:pPr>
              <w:snapToGrid w:val="0"/>
              <w:spacing w:line="380" w:lineRule="exact"/>
              <w:jc w:val="center"/>
              <w:rPr>
                <w:rFonts w:hint="default" w:ascii="Times New Roman" w:hAnsi="Times New Roman" w:eastAsia="方正仿宋_GBK" w:cs="Times New Roman"/>
                <w:color w:val="000000"/>
                <w:sz w:val="28"/>
                <w:szCs w:val="28"/>
              </w:rPr>
            </w:pPr>
            <w:r>
              <w:rPr>
                <w:rFonts w:hint="eastAsia" w:ascii="方正仿宋_GBK" w:hAnsi="方正仿宋_GBK" w:eastAsia="方正仿宋_GBK" w:cs="方正仿宋_GBK"/>
                <w:color w:val="000000"/>
                <w:sz w:val="28"/>
                <w:szCs w:val="28"/>
                <w:lang w:val="en-US" w:eastAsia="zh-CN"/>
              </w:rPr>
              <w:t>《黄海湿地，申遗成功了》</w:t>
            </w:r>
          </w:p>
        </w:tc>
      </w:tr>
      <w:tr w14:paraId="07F23C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8" w:hRule="atLeast"/>
          <w:jc w:val="center"/>
        </w:trPr>
        <w:tc>
          <w:tcPr>
            <w:tcW w:w="2328" w:type="dxa"/>
            <w:tcBorders>
              <w:top w:val="single" w:color="auto" w:sz="4" w:space="0"/>
              <w:left w:val="single" w:color="auto" w:sz="4" w:space="0"/>
              <w:bottom w:val="single" w:color="auto" w:sz="4" w:space="0"/>
              <w:right w:val="single" w:color="auto" w:sz="4" w:space="0"/>
            </w:tcBorders>
          </w:tcPr>
          <w:p w14:paraId="2AC341EA">
            <w:pPr>
              <w:snapToGrid w:val="0"/>
              <w:spacing w:line="380" w:lineRule="exact"/>
              <w:rPr>
                <w:rFonts w:hint="default" w:ascii="Times New Roman" w:hAnsi="Times New Roman" w:eastAsia="方正仿宋_GBK" w:cs="Times New Roman"/>
                <w:color w:val="000000"/>
                <w:sz w:val="24"/>
                <w:szCs w:val="24"/>
              </w:rPr>
            </w:pPr>
            <w:r>
              <w:rPr>
                <w:rFonts w:hint="default" w:ascii="Times New Roman" w:hAnsi="Times New Roman" w:eastAsia="方正仿宋_GBK" w:cs="Times New Roman"/>
                <w:color w:val="000000"/>
                <w:sz w:val="24"/>
                <w:szCs w:val="24"/>
              </w:rPr>
              <w:t>刊播单位</w:t>
            </w:r>
          </w:p>
        </w:tc>
        <w:tc>
          <w:tcPr>
            <w:tcW w:w="1775" w:type="dxa"/>
            <w:tcBorders>
              <w:top w:val="single" w:color="auto" w:sz="4" w:space="0"/>
              <w:left w:val="single" w:color="auto" w:sz="4" w:space="0"/>
              <w:bottom w:val="single" w:color="auto" w:sz="4" w:space="0"/>
              <w:right w:val="single" w:color="auto" w:sz="4" w:space="0"/>
            </w:tcBorders>
            <w:vAlign w:val="center"/>
          </w:tcPr>
          <w:p w14:paraId="791698AE">
            <w:pPr>
              <w:snapToGrid w:val="0"/>
              <w:spacing w:line="380" w:lineRule="exact"/>
              <w:jc w:val="center"/>
              <w:rPr>
                <w:rFonts w:hint="eastAsia" w:ascii="Times New Roman" w:hAnsi="Times New Roman" w:eastAsia="方正仿宋_GBK" w:cs="Times New Roman"/>
                <w:color w:val="000000"/>
                <w:sz w:val="24"/>
                <w:szCs w:val="24"/>
                <w:lang w:val="en-US" w:eastAsia="zh-CN"/>
              </w:rPr>
            </w:pPr>
            <w:r>
              <w:rPr>
                <w:rFonts w:hint="eastAsia" w:ascii="方正仿宋_GBK" w:hAnsi="方正仿宋_GBK" w:eastAsia="方正仿宋_GBK" w:cs="方正仿宋_GBK"/>
                <w:color w:val="000000"/>
                <w:sz w:val="28"/>
                <w:szCs w:val="28"/>
                <w:lang w:val="en-US" w:eastAsia="zh-CN"/>
              </w:rPr>
              <w:t>盐城新闻网</w:t>
            </w:r>
          </w:p>
        </w:tc>
        <w:tc>
          <w:tcPr>
            <w:tcW w:w="1471" w:type="dxa"/>
            <w:tcBorders>
              <w:top w:val="single" w:color="auto" w:sz="4" w:space="0"/>
              <w:left w:val="single" w:color="auto" w:sz="4" w:space="0"/>
              <w:bottom w:val="single" w:color="auto" w:sz="4" w:space="0"/>
              <w:right w:val="single" w:color="auto" w:sz="4" w:space="0"/>
            </w:tcBorders>
            <w:vAlign w:val="center"/>
          </w:tcPr>
          <w:p w14:paraId="4A484B17">
            <w:pPr>
              <w:snapToGrid w:val="0"/>
              <w:spacing w:line="38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刊播日期</w:t>
            </w:r>
          </w:p>
        </w:tc>
        <w:tc>
          <w:tcPr>
            <w:tcW w:w="4054" w:type="dxa"/>
            <w:gridSpan w:val="2"/>
            <w:tcBorders>
              <w:top w:val="single" w:color="auto" w:sz="4" w:space="0"/>
              <w:left w:val="single" w:color="auto" w:sz="4" w:space="0"/>
              <w:bottom w:val="single" w:color="auto" w:sz="4" w:space="0"/>
              <w:right w:val="single" w:color="auto" w:sz="4" w:space="0"/>
            </w:tcBorders>
            <w:vAlign w:val="center"/>
          </w:tcPr>
          <w:p w14:paraId="3676EAFB">
            <w:pPr>
              <w:snapToGrid w:val="0"/>
              <w:spacing w:line="380" w:lineRule="exact"/>
              <w:jc w:val="center"/>
              <w:rPr>
                <w:rFonts w:hint="default" w:ascii="Times New Roman" w:hAnsi="Times New Roman" w:eastAsia="方正仿宋_GBK" w:cs="Times New Roman"/>
                <w:color w:val="000000"/>
                <w:sz w:val="28"/>
                <w:szCs w:val="28"/>
              </w:rPr>
            </w:pPr>
            <w:r>
              <w:rPr>
                <w:rFonts w:hint="eastAsia" w:ascii="方正仿宋_GBK" w:hAnsi="方正仿宋_GBK" w:eastAsia="方正仿宋_GBK" w:cs="方正仿宋_GBK"/>
                <w:color w:val="000000"/>
                <w:sz w:val="28"/>
                <w:szCs w:val="28"/>
                <w:lang w:val="en-US" w:eastAsia="zh-CN"/>
              </w:rPr>
              <w:t>2019年7月</w:t>
            </w:r>
          </w:p>
        </w:tc>
      </w:tr>
      <w:tr w14:paraId="54D3D2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328" w:type="dxa"/>
            <w:tcBorders>
              <w:top w:val="single" w:color="auto" w:sz="4" w:space="0"/>
              <w:left w:val="single" w:color="auto" w:sz="4" w:space="0"/>
              <w:bottom w:val="single" w:color="auto" w:sz="4" w:space="0"/>
              <w:right w:val="single" w:color="auto" w:sz="4" w:space="0"/>
            </w:tcBorders>
          </w:tcPr>
          <w:p w14:paraId="750BA0DB">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字数</w:t>
            </w:r>
            <w:r>
              <w:rPr>
                <w:rFonts w:hint="eastAsia" w:ascii="Times New Roman" w:hAnsi="Times New Roman" w:eastAsia="方正仿宋_GBK" w:cs="Times New Roman"/>
                <w:color w:val="000000"/>
                <w:sz w:val="28"/>
                <w:szCs w:val="28"/>
                <w:lang w:eastAsia="zh-CN"/>
              </w:rPr>
              <w:t>（</w:t>
            </w:r>
            <w:r>
              <w:rPr>
                <w:rFonts w:hint="default" w:ascii="Times New Roman" w:hAnsi="Times New Roman" w:eastAsia="方正仿宋_GBK" w:cs="Times New Roman"/>
                <w:color w:val="000000"/>
                <w:sz w:val="28"/>
                <w:szCs w:val="28"/>
              </w:rPr>
              <w:t>时长</w:t>
            </w:r>
            <w:r>
              <w:rPr>
                <w:rFonts w:hint="eastAsia" w:ascii="Times New Roman" w:hAnsi="Times New Roman" w:eastAsia="方正仿宋_GBK" w:cs="Times New Roman"/>
                <w:color w:val="000000"/>
                <w:sz w:val="28"/>
                <w:szCs w:val="28"/>
                <w:lang w:eastAsia="zh-CN"/>
              </w:rPr>
              <w:t>）</w:t>
            </w:r>
          </w:p>
        </w:tc>
        <w:tc>
          <w:tcPr>
            <w:tcW w:w="1775" w:type="dxa"/>
            <w:tcBorders>
              <w:top w:val="single" w:color="auto" w:sz="4" w:space="0"/>
              <w:left w:val="single" w:color="auto" w:sz="4" w:space="0"/>
              <w:bottom w:val="single" w:color="auto" w:sz="4" w:space="0"/>
              <w:right w:val="single" w:color="auto" w:sz="4" w:space="0"/>
            </w:tcBorders>
            <w:vAlign w:val="center"/>
          </w:tcPr>
          <w:p w14:paraId="5B614275">
            <w:pPr>
              <w:snapToGrid w:val="0"/>
              <w:spacing w:line="380" w:lineRule="exact"/>
              <w:jc w:val="center"/>
              <w:rPr>
                <w:rFonts w:hint="default" w:ascii="Times New Roman" w:hAnsi="Times New Roman" w:eastAsia="方正仿宋_GBK" w:cs="Times New Roman"/>
                <w:color w:val="000000"/>
                <w:sz w:val="28"/>
                <w:szCs w:val="28"/>
                <w:lang w:val="en-US" w:eastAsia="zh-CN"/>
              </w:rPr>
            </w:pPr>
            <w:r>
              <w:rPr>
                <w:rFonts w:hint="eastAsia" w:ascii="Times New Roman" w:hAnsi="Times New Roman" w:eastAsia="方正仿宋_GBK" w:cs="Times New Roman"/>
                <w:color w:val="000000"/>
                <w:sz w:val="28"/>
                <w:szCs w:val="28"/>
                <w:lang w:val="en-US" w:eastAsia="zh-CN"/>
              </w:rPr>
              <w:t>30000+</w:t>
            </w:r>
          </w:p>
        </w:tc>
        <w:tc>
          <w:tcPr>
            <w:tcW w:w="1471" w:type="dxa"/>
            <w:tcBorders>
              <w:top w:val="single" w:color="auto" w:sz="4" w:space="0"/>
              <w:left w:val="single" w:color="auto" w:sz="4" w:space="0"/>
              <w:bottom w:val="single" w:color="auto" w:sz="4" w:space="0"/>
              <w:right w:val="single" w:color="auto" w:sz="4" w:space="0"/>
            </w:tcBorders>
            <w:vAlign w:val="center"/>
          </w:tcPr>
          <w:p w14:paraId="11B9856B">
            <w:pPr>
              <w:snapToGrid w:val="0"/>
              <w:spacing w:line="380" w:lineRule="exact"/>
              <w:jc w:val="center"/>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作品体裁</w:t>
            </w:r>
          </w:p>
        </w:tc>
        <w:tc>
          <w:tcPr>
            <w:tcW w:w="4054" w:type="dxa"/>
            <w:gridSpan w:val="2"/>
            <w:tcBorders>
              <w:top w:val="single" w:color="auto" w:sz="4" w:space="0"/>
              <w:left w:val="single" w:color="auto" w:sz="4" w:space="0"/>
              <w:bottom w:val="single" w:color="auto" w:sz="4" w:space="0"/>
              <w:right w:val="single" w:color="auto" w:sz="4" w:space="0"/>
            </w:tcBorders>
            <w:vAlign w:val="center"/>
          </w:tcPr>
          <w:p w14:paraId="3FDF675F">
            <w:pPr>
              <w:snapToGrid w:val="0"/>
              <w:spacing w:line="380" w:lineRule="exact"/>
              <w:jc w:val="center"/>
              <w:rPr>
                <w:rFonts w:hint="default" w:ascii="Times New Roman" w:hAnsi="Times New Roman" w:eastAsia="方正仿宋_GBK" w:cs="Times New Roman"/>
                <w:color w:val="000000"/>
                <w:sz w:val="28"/>
                <w:szCs w:val="28"/>
              </w:rPr>
            </w:pPr>
            <w:r>
              <w:rPr>
                <w:rFonts w:hint="eastAsia" w:ascii="方正仿宋_GBK" w:hAnsi="方正仿宋_GBK" w:eastAsia="方正仿宋_GBK" w:cs="方正仿宋_GBK"/>
                <w:color w:val="000000"/>
                <w:sz w:val="28"/>
                <w:szCs w:val="28"/>
                <w:lang w:val="en-US" w:eastAsia="zh-CN"/>
              </w:rPr>
              <w:t>网页设计</w:t>
            </w:r>
          </w:p>
        </w:tc>
      </w:tr>
      <w:tr w14:paraId="398D61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34" w:hRule="atLeast"/>
          <w:jc w:val="center"/>
        </w:trPr>
        <w:tc>
          <w:tcPr>
            <w:tcW w:w="2328" w:type="dxa"/>
            <w:tcBorders>
              <w:top w:val="single" w:color="auto" w:sz="4" w:space="0"/>
              <w:left w:val="single" w:color="auto" w:sz="4" w:space="0"/>
              <w:bottom w:val="single" w:color="auto" w:sz="4" w:space="0"/>
              <w:right w:val="single" w:color="auto" w:sz="4" w:space="0"/>
            </w:tcBorders>
          </w:tcPr>
          <w:p w14:paraId="19D031E2">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获奖证书类别</w:t>
            </w:r>
          </w:p>
        </w:tc>
        <w:tc>
          <w:tcPr>
            <w:tcW w:w="7300" w:type="dxa"/>
            <w:gridSpan w:val="4"/>
            <w:tcBorders>
              <w:top w:val="single" w:color="auto" w:sz="4" w:space="0"/>
              <w:left w:val="single" w:color="auto" w:sz="4" w:space="0"/>
              <w:bottom w:val="single" w:color="auto" w:sz="4" w:space="0"/>
              <w:right w:val="single" w:color="auto" w:sz="4" w:space="0"/>
            </w:tcBorders>
          </w:tcPr>
          <w:p w14:paraId="36793C31">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作者□  编辑</w:t>
            </w:r>
            <w:r>
              <w:rPr>
                <w:rFonts w:hint="eastAsia" w:ascii="Times New Roman" w:hAnsi="Times New Roman" w:eastAsia="方正仿宋_GBK" w:cs="Times New Roman"/>
                <w:color w:val="000000"/>
                <w:sz w:val="28"/>
                <w:szCs w:val="28"/>
                <w:lang w:eastAsia="zh-CN"/>
              </w:rPr>
              <w:t>☑</w:t>
            </w:r>
            <w:r>
              <w:rPr>
                <w:rFonts w:hint="default" w:ascii="Times New Roman" w:hAnsi="Times New Roman" w:eastAsia="方正仿宋_GBK" w:cs="Times New Roman"/>
                <w:color w:val="000000"/>
                <w:sz w:val="28"/>
                <w:szCs w:val="28"/>
              </w:rPr>
              <w:t xml:space="preserve">  主持人□  播音员□  其他□</w:t>
            </w:r>
          </w:p>
          <w:p w14:paraId="37713EBF">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（请在相应的□内打“√”）</w:t>
            </w:r>
          </w:p>
        </w:tc>
      </w:tr>
      <w:tr w14:paraId="1BD66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06" w:hRule="atLeast"/>
          <w:jc w:val="center"/>
        </w:trPr>
        <w:tc>
          <w:tcPr>
            <w:tcW w:w="9628" w:type="dxa"/>
            <w:gridSpan w:val="5"/>
            <w:tcBorders>
              <w:top w:val="single" w:color="auto" w:sz="4" w:space="0"/>
              <w:left w:val="single" w:color="auto" w:sz="4" w:space="0"/>
              <w:bottom w:val="single" w:color="auto" w:sz="4" w:space="0"/>
              <w:right w:val="single" w:color="auto" w:sz="4" w:space="0"/>
            </w:tcBorders>
          </w:tcPr>
          <w:p w14:paraId="05F42807">
            <w:pPr>
              <w:snapToGrid w:val="0"/>
              <w:spacing w:line="380" w:lineRule="exact"/>
              <w:rPr>
                <w:rFonts w:hint="eastAsia" w:ascii="Times New Roman" w:hAnsi="Times New Roman" w:eastAsia="方正仿宋_GBK" w:cs="Times New Roman"/>
                <w:b/>
                <w:bCs/>
                <w:color w:val="000000"/>
                <w:sz w:val="28"/>
                <w:szCs w:val="28"/>
                <w:lang w:eastAsia="zh-CN"/>
              </w:rPr>
            </w:pPr>
            <w:r>
              <w:rPr>
                <w:rFonts w:hint="default" w:ascii="Times New Roman" w:hAnsi="Times New Roman" w:eastAsia="方正仿宋_GBK" w:cs="Times New Roman"/>
                <w:b/>
                <w:bCs/>
                <w:color w:val="000000"/>
                <w:sz w:val="28"/>
                <w:szCs w:val="28"/>
              </w:rPr>
              <w:t>推荐理由</w:t>
            </w:r>
            <w:r>
              <w:rPr>
                <w:rFonts w:hint="eastAsia" w:ascii="Times New Roman" w:hAnsi="Times New Roman" w:eastAsia="方正仿宋_GBK" w:cs="Times New Roman"/>
                <w:b/>
                <w:bCs/>
                <w:color w:val="000000"/>
                <w:sz w:val="28"/>
                <w:szCs w:val="28"/>
                <w:lang w:eastAsia="zh-CN"/>
              </w:rPr>
              <w:t>：</w:t>
            </w:r>
            <w:bookmarkStart w:id="0" w:name="_GoBack"/>
            <w:bookmarkEnd w:id="0"/>
          </w:p>
          <w:p w14:paraId="4AC2F4E1">
            <w:pPr>
              <w:snapToGrid w:val="0"/>
              <w:spacing w:line="380" w:lineRule="exact"/>
              <w:ind w:firstLine="560" w:firstLineChars="200"/>
              <w:jc w:val="left"/>
              <w:rPr>
                <w:rFonts w:hint="eastAsia" w:ascii="楷体_GB2312" w:hAnsi="楷体_GB2312" w:eastAsia="楷体_GB2312" w:cs="楷体_GB2312"/>
                <w:color w:val="000000"/>
                <w:sz w:val="28"/>
                <w:szCs w:val="28"/>
                <w:lang w:val="en-US" w:eastAsia="zh-CN"/>
              </w:rPr>
            </w:pPr>
          </w:p>
          <w:p w14:paraId="6FFE90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jc w:val="lef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2019年7月5日，在阿塞拜疆巴库召开的第43届世界遗产大会上，中国黄(渤)海候鸟栖息地(第一期)申遗成功。位于盐城的该项目成为我国第54处世界遗产、江苏首项世界自然遗产，填补了我国滨海湿地类型遗产空白，成为全球第二块潮间带湿地遗产。</w:t>
            </w:r>
          </w:p>
          <w:p w14:paraId="0C7FD2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jc w:val="left"/>
              <w:textAlignment w:val="auto"/>
              <w:rPr>
                <w:rFonts w:hint="eastAsia" w:ascii="方正仿宋_GBK" w:hAnsi="方正仿宋_GBK" w:eastAsia="方正仿宋_GBK" w:cs="方正仿宋_GBK"/>
                <w:color w:val="000000"/>
                <w:sz w:val="28"/>
                <w:szCs w:val="28"/>
                <w:lang w:val="en-US" w:eastAsia="zh-CN"/>
              </w:rPr>
            </w:pPr>
            <w:r>
              <w:rPr>
                <w:rFonts w:hint="eastAsia" w:ascii="方正仿宋_GBK" w:hAnsi="方正仿宋_GBK" w:eastAsia="方正仿宋_GBK" w:cs="方正仿宋_GBK"/>
                <w:color w:val="000000"/>
                <w:sz w:val="28"/>
                <w:szCs w:val="28"/>
                <w:lang w:val="en-US" w:eastAsia="zh-CN"/>
              </w:rPr>
              <w:t>这是盐城市委市政府践行习近平生态文明思想、贯彻绿色发展理念的硕果，折射出国际社会对中国生态文明实践的广泛认可，凸显出共谋全球生态文明建设的中国担当。申遗的“盐城实践”，为经济发达、人口稠密的东部沿海地区自然遗产的保护与合理利用提供了创新典范。为报道好这一世遗名片，放大世遗效应，盐阜大众报报业集团新媒体团队及早策划、精心组织，在盐城新闻网推出新闻专题。</w:t>
            </w:r>
          </w:p>
          <w:p w14:paraId="6FE0DC8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jc w:val="left"/>
              <w:textAlignment w:val="auto"/>
              <w:rPr>
                <w:rFonts w:hint="default" w:ascii="Times New Roman" w:hAnsi="Times New Roman" w:eastAsia="方正仿宋_GBK" w:cs="Times New Roman"/>
                <w:color w:val="000000"/>
                <w:sz w:val="28"/>
                <w:szCs w:val="28"/>
              </w:rPr>
            </w:pPr>
            <w:r>
              <w:rPr>
                <w:rFonts w:hint="eastAsia" w:ascii="方正仿宋_GBK" w:hAnsi="方正仿宋_GBK" w:eastAsia="方正仿宋_GBK" w:cs="方正仿宋_GBK"/>
                <w:color w:val="000000"/>
                <w:sz w:val="28"/>
                <w:szCs w:val="28"/>
                <w:lang w:val="en-US" w:eastAsia="zh-CN"/>
              </w:rPr>
              <w:t>该新闻专题滚动发布，报道全面，要素齐备，体裁丰富，图文并茂，有新闻、视频、专稿、评论、H5、美图、回顾等，与网友交互强。根据后台统计数据，专题在盐城新闻网推出后，累计点击阅读量达800万+。</w:t>
            </w:r>
          </w:p>
          <w:p w14:paraId="57A01326">
            <w:pPr>
              <w:snapToGrid w:val="0"/>
              <w:spacing w:line="380" w:lineRule="exact"/>
              <w:rPr>
                <w:rFonts w:hint="default" w:ascii="Times New Roman" w:hAnsi="Times New Roman" w:eastAsia="方正仿宋_GBK" w:cs="Times New Roman"/>
                <w:color w:val="000000"/>
                <w:sz w:val="28"/>
                <w:szCs w:val="28"/>
              </w:rPr>
            </w:pPr>
          </w:p>
          <w:p w14:paraId="350FC516">
            <w:pPr>
              <w:snapToGrid w:val="0"/>
              <w:spacing w:line="380" w:lineRule="exact"/>
              <w:rPr>
                <w:rFonts w:hint="default" w:ascii="Times New Roman" w:hAnsi="Times New Roman" w:eastAsia="方正仿宋_GBK" w:cs="Times New Roman"/>
                <w:color w:val="000000"/>
                <w:sz w:val="28"/>
                <w:szCs w:val="28"/>
              </w:rPr>
            </w:pPr>
          </w:p>
          <w:p w14:paraId="169EA81D">
            <w:pPr>
              <w:snapToGrid w:val="0"/>
              <w:spacing w:line="380" w:lineRule="exact"/>
              <w:rPr>
                <w:rFonts w:hint="default" w:ascii="Times New Roman" w:hAnsi="Times New Roman" w:eastAsia="方正仿宋_GBK" w:cs="Times New Roman"/>
                <w:color w:val="000000"/>
                <w:sz w:val="28"/>
                <w:szCs w:val="28"/>
              </w:rPr>
            </w:pPr>
            <w:r>
              <w:rPr>
                <w:rFonts w:hint="default" w:ascii="Times New Roman" w:hAnsi="Times New Roman" w:eastAsia="方正仿宋_GBK" w:cs="Times New Roman"/>
                <w:color w:val="000000"/>
                <w:sz w:val="28"/>
                <w:szCs w:val="28"/>
              </w:rPr>
              <w:t> </w:t>
            </w:r>
          </w:p>
        </w:tc>
      </w:tr>
    </w:tbl>
    <w:p w14:paraId="624ACE13">
      <w:pPr>
        <w:rPr>
          <w:rFonts w:hint="default" w:ascii="Times New Roman" w:hAnsi="Times New Roman" w:cs="Times New Roma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CC8DDDC0-F2A7-40A5-8242-E463D137323B}"/>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_GBK">
    <w:panose1 w:val="02000000000000000000"/>
    <w:charset w:val="86"/>
    <w:family w:val="script"/>
    <w:pitch w:val="default"/>
    <w:sig w:usb0="A00002BF" w:usb1="38CF7CFA" w:usb2="00082016" w:usb3="00000000" w:csb0="00040001" w:csb1="00000000"/>
    <w:embedRegular r:id="rId2" w:fontKey="{95ACE476-7B2B-4052-85CE-6892DD59EDA1}"/>
  </w:font>
  <w:font w:name="方正仿宋_GBK">
    <w:panose1 w:val="02000000000000000000"/>
    <w:charset w:val="86"/>
    <w:family w:val="auto"/>
    <w:pitch w:val="default"/>
    <w:sig w:usb0="A00002BF" w:usb1="38CF7CFA" w:usb2="00082016" w:usb3="00000000" w:csb0="00040001" w:csb1="00000000"/>
    <w:embedRegular r:id="rId3" w:fontKey="{8F66991E-BBB8-479C-BCAA-F0BA6EF64C8C}"/>
  </w:font>
  <w:font w:name="楷体_GB2312">
    <w:panose1 w:val="02010609030101010101"/>
    <w:charset w:val="86"/>
    <w:family w:val="auto"/>
    <w:pitch w:val="default"/>
    <w:sig w:usb0="00000001" w:usb1="080E0000" w:usb2="00000000" w:usb3="00000000" w:csb0="00040000" w:csb1="00000000"/>
    <w:embedRegular r:id="rId4" w:fontKey="{6C7951A7-BB9D-4349-8CD2-4CA933585C54}"/>
  </w:font>
  <w:font w:name="仿宋">
    <w:panose1 w:val="02010609060101010101"/>
    <w:charset w:val="86"/>
    <w:family w:val="auto"/>
    <w:pitch w:val="default"/>
    <w:sig w:usb0="800002BF" w:usb1="38CF7CFA" w:usb2="00000016" w:usb3="00000000" w:csb0="00040001" w:csb1="00000000"/>
    <w:embedRegular r:id="rId5" w:fontKey="{D9B6324E-7C45-4EA0-8C25-FF916F7BB3F4}"/>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F41F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F5A5A">
    <w:pPr>
      <w:pStyle w:val="4"/>
      <w:pBdr>
        <w:bottom w:val="none" w:color="auto" w:sz="0" w:space="0"/>
      </w:pBdr>
      <w:jc w:val="left"/>
      <w:rPr>
        <w:rFonts w:ascii="仿宋" w:hAnsi="仿宋" w:eastAsia="仿宋"/>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0F6088"/>
    <w:rsid w:val="12E82452"/>
    <w:rsid w:val="1BF92C61"/>
    <w:rsid w:val="1D012A8E"/>
    <w:rsid w:val="22783598"/>
    <w:rsid w:val="2C5D4D89"/>
    <w:rsid w:val="30682CE8"/>
    <w:rsid w:val="32C318F3"/>
    <w:rsid w:val="33305E93"/>
    <w:rsid w:val="432F3FCE"/>
    <w:rsid w:val="4E51667C"/>
    <w:rsid w:val="540814F5"/>
    <w:rsid w:val="5A7D2A4C"/>
    <w:rsid w:val="5EA01B55"/>
    <w:rsid w:val="691010E9"/>
    <w:rsid w:val="6BEE3DDE"/>
    <w:rsid w:val="72EB1D0A"/>
    <w:rsid w:val="74A93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2"/>
      <w:lang w:val="en-US" w:eastAsia="zh-CN" w:bidi="ar-SA"/>
    </w:rPr>
  </w:style>
  <w:style w:type="paragraph" w:styleId="2">
    <w:name w:val="heading 2"/>
    <w:basedOn w:val="1"/>
    <w:next w:val="1"/>
    <w:qFormat/>
    <w:uiPriority w:val="9"/>
    <w:pPr>
      <w:keepNext/>
      <w:keepLines/>
      <w:spacing w:before="260" w:after="260" w:line="416" w:lineRule="auto"/>
      <w:outlineLvl w:val="1"/>
    </w:pPr>
    <w:rPr>
      <w:rFonts w:ascii="Cambria" w:hAnsi="Cambria"/>
      <w:b/>
      <w:bCs/>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Table Paragraph"/>
    <w:basedOn w:val="1"/>
    <w:qFormat/>
    <w:uiPriority w:val="1"/>
    <w:rPr>
      <w:rFonts w:ascii="Arial Unicode MS" w:hAnsi="Arial Unicode MS" w:eastAsia="Arial Unicode MS" w:cs="Arial Unicode MS"/>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124</Words>
  <Characters>129</Characters>
  <Lines>0</Lines>
  <Paragraphs>0</Paragraphs>
  <TotalTime>3</TotalTime>
  <ScaleCrop>false</ScaleCrop>
  <LinksUpToDate>false</LinksUpToDate>
  <CharactersWithSpaces>159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2026-04-07T07:46:00Z</dcterms:created>
  <dc:creator>EDY</dc:creator>
  <cp:lastModifiedBy>wangm</cp:lastModifiedBy>
  <dcterms:modified xsi:type="dcterms:W3CDTF">2026-07-24T01:50:40Z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eyJoZGlkIjoiMWE2ZmMzOGI3OTU1NzllN2E1YzE2MjM1OTEwNWE3MGMiLCJ1c2VySWQiOiIzNzEzMjUwMzUifQ==</vt:lpwstr>
  </property>
  <property fmtid="{D5CDD505-2E9C-101B-9397-08002B2CF9AE}" pid="4" name="ICV">
    <vt:lpwstr>CE302F30C29C4FD99B149053CB39BC3D_13</vt:lpwstr>
  </property>
</Properties>
</file>